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0E21" w14:textId="77777777" w:rsidR="00CC095A" w:rsidRDefault="00000000">
      <w:pPr>
        <w:pStyle w:val="BodyText"/>
        <w:spacing w:before="0"/>
        <w:ind w:left="177"/>
        <w:rPr>
          <w:sz w:val="20"/>
        </w:rPr>
      </w:pPr>
      <w:r>
        <w:rPr>
          <w:noProof/>
          <w:sz w:val="20"/>
        </w:rPr>
        <w:drawing>
          <wp:inline distT="0" distB="0" distL="0" distR="0" wp14:anchorId="429172E3" wp14:editId="60F1436F">
            <wp:extent cx="1119687" cy="2811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19687" cy="281177"/>
                    </a:xfrm>
                    <a:prstGeom prst="rect">
                      <a:avLst/>
                    </a:prstGeom>
                  </pic:spPr>
                </pic:pic>
              </a:graphicData>
            </a:graphic>
          </wp:inline>
        </w:drawing>
      </w:r>
    </w:p>
    <w:p w14:paraId="751BCBFC" w14:textId="77777777" w:rsidR="00CC095A" w:rsidRDefault="00000000">
      <w:pPr>
        <w:spacing w:before="123"/>
        <w:ind w:left="190"/>
        <w:rPr>
          <w:b/>
          <w:i/>
          <w:sz w:val="24"/>
        </w:rPr>
      </w:pPr>
      <w:r>
        <w:rPr>
          <w:b/>
          <w:i/>
          <w:sz w:val="24"/>
        </w:rPr>
        <w:t>Mr. John P. Mahoney, Esq.</w:t>
      </w:r>
    </w:p>
    <w:p w14:paraId="466D6959" w14:textId="12A48C8A" w:rsidR="00CC095A" w:rsidRDefault="00000000">
      <w:pPr>
        <w:spacing w:before="41"/>
        <w:ind w:left="190"/>
        <w:rPr>
          <w:b/>
          <w:i/>
          <w:sz w:val="24"/>
        </w:rPr>
      </w:pPr>
      <w:r>
        <w:rPr>
          <w:b/>
          <w:i/>
          <w:sz w:val="24"/>
        </w:rPr>
        <w:t>The Law Firm of John P. Mahoney, Esq.</w:t>
      </w:r>
      <w:r w:rsidR="009D4293">
        <w:rPr>
          <w:b/>
          <w:iCs/>
          <w:sz w:val="24"/>
        </w:rPr>
        <w:t xml:space="preserve">, </w:t>
      </w:r>
      <w:r w:rsidR="009D4293" w:rsidRPr="009D4293">
        <w:rPr>
          <w:b/>
          <w:i/>
          <w:sz w:val="24"/>
        </w:rPr>
        <w:t>Attorneys at Law, PLLC</w:t>
      </w:r>
      <w:r>
        <w:rPr>
          <w:b/>
          <w:i/>
          <w:sz w:val="24"/>
        </w:rPr>
        <w:t>.</w:t>
      </w:r>
    </w:p>
    <w:p w14:paraId="6E6F5D43" w14:textId="77777777" w:rsidR="00CC095A" w:rsidRDefault="00CC095A">
      <w:pPr>
        <w:pStyle w:val="BodyText"/>
        <w:spacing w:before="0"/>
        <w:ind w:left="0"/>
        <w:rPr>
          <w:b/>
          <w:i/>
          <w:sz w:val="20"/>
        </w:rPr>
      </w:pPr>
    </w:p>
    <w:p w14:paraId="4159BCB0" w14:textId="77777777" w:rsidR="00CC095A" w:rsidRDefault="00000000">
      <w:pPr>
        <w:pStyle w:val="BodyText"/>
        <w:spacing w:before="8"/>
        <w:ind w:left="0"/>
        <w:rPr>
          <w:b/>
          <w:i/>
          <w:sz w:val="12"/>
        </w:rPr>
      </w:pPr>
      <w:r>
        <w:rPr>
          <w:noProof/>
        </w:rPr>
        <w:drawing>
          <wp:anchor distT="0" distB="0" distL="0" distR="0" simplePos="0" relativeHeight="251658240" behindDoc="0" locked="0" layoutInCell="1" allowOverlap="1" wp14:anchorId="22B4D26B" wp14:editId="0DF9053A">
            <wp:simplePos x="0" y="0"/>
            <wp:positionH relativeFrom="page">
              <wp:posOffset>476250</wp:posOffset>
            </wp:positionH>
            <wp:positionV relativeFrom="paragraph">
              <wp:posOffset>117932</wp:posOffset>
            </wp:positionV>
            <wp:extent cx="5618366" cy="333708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618366" cy="3337083"/>
                    </a:xfrm>
                    <a:prstGeom prst="rect">
                      <a:avLst/>
                    </a:prstGeom>
                  </pic:spPr>
                </pic:pic>
              </a:graphicData>
            </a:graphic>
          </wp:anchor>
        </w:drawing>
      </w:r>
    </w:p>
    <w:p w14:paraId="2AA894C4" w14:textId="77777777" w:rsidR="00CC095A" w:rsidRDefault="00CC095A">
      <w:pPr>
        <w:pStyle w:val="BodyText"/>
        <w:spacing w:before="0"/>
        <w:ind w:left="0"/>
        <w:rPr>
          <w:b/>
          <w:i/>
        </w:rPr>
      </w:pPr>
    </w:p>
    <w:p w14:paraId="205FDB1A" w14:textId="77777777" w:rsidR="00CC095A" w:rsidRDefault="00000000">
      <w:pPr>
        <w:pStyle w:val="Heading1"/>
        <w:numPr>
          <w:ilvl w:val="0"/>
          <w:numId w:val="3"/>
        </w:numPr>
        <w:tabs>
          <w:tab w:val="left" w:pos="332"/>
        </w:tabs>
        <w:spacing w:before="171"/>
      </w:pPr>
      <w:r>
        <w:t>Overview</w:t>
      </w:r>
    </w:p>
    <w:p w14:paraId="6BB898C7" w14:textId="77777777" w:rsidR="008819CB" w:rsidRDefault="008819CB">
      <w:pPr>
        <w:pStyle w:val="BodyText"/>
        <w:spacing w:line="276" w:lineRule="auto"/>
        <w:ind w:left="100"/>
      </w:pPr>
    </w:p>
    <w:p w14:paraId="18653B41" w14:textId="1ACF7096" w:rsidR="00CC095A" w:rsidRPr="008819CB" w:rsidRDefault="00000000">
      <w:pPr>
        <w:pStyle w:val="BodyText"/>
        <w:spacing w:line="276" w:lineRule="auto"/>
        <w:ind w:left="100"/>
      </w:pPr>
      <w:r w:rsidRPr="008819CB">
        <w:t xml:space="preserve">Attorney John Mahoney is an accomplished legal expert with a focus on federal employment and labor law. As a dedicated </w:t>
      </w:r>
      <w:r w:rsidR="00383800">
        <w:t>Democratic National Committee (DNC) Lawyers Council</w:t>
      </w:r>
      <w:r w:rsidR="00383800">
        <w:t xml:space="preserve"> </w:t>
      </w:r>
      <w:r w:rsidRPr="008819CB">
        <w:t>attorney, John has 30 years of experience in the field. His commitment to public servant clients and passion for justice have earned him recognition as a top attorney in his practice area. John's depth of knowledge and engaging presence make him an ideal guest for top television networks such as MSNBC, CNN, OANN, Fox News, and more.</w:t>
      </w:r>
    </w:p>
    <w:p w14:paraId="7E9EF909" w14:textId="77777777" w:rsidR="00CC095A" w:rsidRPr="008819CB" w:rsidRDefault="00CC095A">
      <w:pPr>
        <w:pStyle w:val="BodyText"/>
        <w:spacing w:before="10"/>
        <w:ind w:left="0"/>
        <w:rPr>
          <w:sz w:val="29"/>
        </w:rPr>
      </w:pPr>
    </w:p>
    <w:p w14:paraId="33C4D8F6" w14:textId="77777777" w:rsidR="00CC095A" w:rsidRPr="008819CB" w:rsidRDefault="00000000">
      <w:pPr>
        <w:pStyle w:val="Heading1"/>
        <w:numPr>
          <w:ilvl w:val="0"/>
          <w:numId w:val="3"/>
        </w:numPr>
        <w:tabs>
          <w:tab w:val="left" w:pos="433"/>
        </w:tabs>
        <w:ind w:left="432" w:hanging="333"/>
      </w:pPr>
      <w:r w:rsidRPr="008819CB">
        <w:t>Bio</w:t>
      </w:r>
    </w:p>
    <w:p w14:paraId="189CE056" w14:textId="77777777" w:rsidR="008819CB" w:rsidRDefault="008819CB">
      <w:pPr>
        <w:pStyle w:val="BodyText"/>
        <w:spacing w:before="44" w:line="276" w:lineRule="auto"/>
        <w:ind w:left="100"/>
      </w:pPr>
    </w:p>
    <w:p w14:paraId="21C4379A" w14:textId="23CA07E0" w:rsidR="00CC095A" w:rsidRPr="008819CB" w:rsidRDefault="00000000">
      <w:pPr>
        <w:pStyle w:val="BodyText"/>
        <w:spacing w:before="44" w:line="276" w:lineRule="auto"/>
        <w:ind w:left="100"/>
      </w:pPr>
      <w:r w:rsidRPr="008819CB">
        <w:t>John Mahoney earned his Juris Doctor from The Catholic University of America, Columbus School of Law, and began his legal career as a law clerk at the DC Office of Labor Relations &amp; Collective Bargaining. He later served as Vice Chair, an executive, and an Administrative Judge for the U.S. Government Accountability Office’s (GAO), Personnel Appeals Board, where he adjudicated federal employment cases. In his private practice, he has successfully represented thousands of federal employees in various matters before the MSPB, EEOC, and other federal agencies.</w:t>
      </w:r>
    </w:p>
    <w:p w14:paraId="7F95C770" w14:textId="77777777" w:rsidR="00CC095A" w:rsidRPr="008819CB" w:rsidRDefault="00CC095A">
      <w:pPr>
        <w:pStyle w:val="BodyText"/>
        <w:spacing w:before="11"/>
        <w:ind w:left="0"/>
        <w:rPr>
          <w:sz w:val="29"/>
        </w:rPr>
      </w:pPr>
    </w:p>
    <w:p w14:paraId="3011123E" w14:textId="5557136A" w:rsidR="00CC095A" w:rsidRDefault="00000000">
      <w:pPr>
        <w:pStyle w:val="BodyText"/>
        <w:spacing w:before="0" w:line="276" w:lineRule="auto"/>
        <w:ind w:left="100" w:right="50"/>
      </w:pPr>
      <w:r w:rsidRPr="008819CB">
        <w:t xml:space="preserve">As a DNC Lawyer’s Committee member, John has focused on issues related to federal employment law, labor law, and civil rights. He is a member of the Bars of the Supreme Court of the United States, </w:t>
      </w:r>
      <w:r w:rsidRPr="008819CB">
        <w:lastRenderedPageBreak/>
        <w:t>the District of Columbia Bar, and the American Bar Association, further highlighting his commitment to the legal profession.</w:t>
      </w:r>
    </w:p>
    <w:p w14:paraId="0890B0FD" w14:textId="77777777" w:rsidR="008819CB" w:rsidRPr="008819CB" w:rsidRDefault="008819CB">
      <w:pPr>
        <w:pStyle w:val="BodyText"/>
        <w:spacing w:before="0" w:line="276" w:lineRule="auto"/>
        <w:ind w:left="100" w:right="50"/>
      </w:pPr>
    </w:p>
    <w:p w14:paraId="7FFE4529" w14:textId="77777777" w:rsidR="00CC095A" w:rsidRPr="008819CB" w:rsidRDefault="00000000">
      <w:pPr>
        <w:pStyle w:val="Heading1"/>
        <w:numPr>
          <w:ilvl w:val="0"/>
          <w:numId w:val="3"/>
        </w:numPr>
        <w:tabs>
          <w:tab w:val="left" w:pos="534"/>
        </w:tabs>
        <w:spacing w:before="64"/>
        <w:ind w:left="533" w:hanging="434"/>
      </w:pPr>
      <w:r w:rsidRPr="008819CB">
        <w:t>Expertise</w:t>
      </w:r>
    </w:p>
    <w:p w14:paraId="58B0447B" w14:textId="77777777" w:rsidR="00CC095A" w:rsidRPr="008819CB" w:rsidRDefault="00CC095A">
      <w:pPr>
        <w:pStyle w:val="BodyText"/>
        <w:spacing w:before="8"/>
        <w:ind w:left="0"/>
        <w:rPr>
          <w:b/>
          <w:sz w:val="24"/>
        </w:rPr>
      </w:pPr>
    </w:p>
    <w:p w14:paraId="7D4015FF" w14:textId="77777777" w:rsidR="00CC095A" w:rsidRPr="008819CB" w:rsidRDefault="00000000">
      <w:pPr>
        <w:pStyle w:val="ListParagraph"/>
        <w:numPr>
          <w:ilvl w:val="0"/>
          <w:numId w:val="2"/>
        </w:numPr>
        <w:tabs>
          <w:tab w:val="left" w:pos="819"/>
          <w:tab w:val="left" w:pos="820"/>
        </w:tabs>
        <w:spacing w:before="0"/>
        <w:rPr>
          <w:rFonts w:ascii="Arial" w:hAnsi="Arial"/>
          <w:sz w:val="26"/>
        </w:rPr>
      </w:pPr>
      <w:r w:rsidRPr="008819CB">
        <w:rPr>
          <w:sz w:val="26"/>
        </w:rPr>
        <w:t>Federal employment</w:t>
      </w:r>
      <w:r w:rsidRPr="008819CB">
        <w:rPr>
          <w:spacing w:val="-3"/>
          <w:sz w:val="26"/>
        </w:rPr>
        <w:t xml:space="preserve"> </w:t>
      </w:r>
      <w:r w:rsidRPr="008819CB">
        <w:rPr>
          <w:sz w:val="26"/>
        </w:rPr>
        <w:t>law</w:t>
      </w:r>
    </w:p>
    <w:p w14:paraId="1E98C662" w14:textId="77777777" w:rsidR="00CC095A" w:rsidRPr="008819CB" w:rsidRDefault="00000000">
      <w:pPr>
        <w:pStyle w:val="ListParagraph"/>
        <w:numPr>
          <w:ilvl w:val="0"/>
          <w:numId w:val="2"/>
        </w:numPr>
        <w:tabs>
          <w:tab w:val="left" w:pos="819"/>
          <w:tab w:val="left" w:pos="820"/>
        </w:tabs>
        <w:rPr>
          <w:rFonts w:ascii="Arial" w:hAnsi="Arial"/>
          <w:sz w:val="26"/>
        </w:rPr>
      </w:pPr>
      <w:r w:rsidRPr="008819CB">
        <w:rPr>
          <w:sz w:val="26"/>
        </w:rPr>
        <w:t>Labor</w:t>
      </w:r>
      <w:r w:rsidRPr="008819CB">
        <w:rPr>
          <w:spacing w:val="-2"/>
          <w:sz w:val="26"/>
        </w:rPr>
        <w:t xml:space="preserve"> </w:t>
      </w:r>
      <w:r w:rsidRPr="008819CB">
        <w:rPr>
          <w:sz w:val="26"/>
        </w:rPr>
        <w:t>law</w:t>
      </w:r>
    </w:p>
    <w:p w14:paraId="65FF630F" w14:textId="77777777" w:rsidR="00CC095A" w:rsidRPr="008819CB" w:rsidRDefault="00000000">
      <w:pPr>
        <w:pStyle w:val="ListParagraph"/>
        <w:numPr>
          <w:ilvl w:val="0"/>
          <w:numId w:val="2"/>
        </w:numPr>
        <w:tabs>
          <w:tab w:val="left" w:pos="819"/>
          <w:tab w:val="left" w:pos="820"/>
        </w:tabs>
        <w:rPr>
          <w:rFonts w:ascii="Arial" w:hAnsi="Arial"/>
          <w:sz w:val="26"/>
        </w:rPr>
      </w:pPr>
      <w:r w:rsidRPr="008819CB">
        <w:rPr>
          <w:sz w:val="26"/>
        </w:rPr>
        <w:t>Civil</w:t>
      </w:r>
      <w:r w:rsidRPr="008819CB">
        <w:rPr>
          <w:spacing w:val="-2"/>
          <w:sz w:val="26"/>
        </w:rPr>
        <w:t xml:space="preserve"> </w:t>
      </w:r>
      <w:r w:rsidRPr="008819CB">
        <w:rPr>
          <w:sz w:val="26"/>
        </w:rPr>
        <w:t>rights</w:t>
      </w:r>
    </w:p>
    <w:p w14:paraId="11881EE7" w14:textId="77777777" w:rsidR="00CC095A" w:rsidRPr="008819CB" w:rsidRDefault="00000000">
      <w:pPr>
        <w:pStyle w:val="ListParagraph"/>
        <w:numPr>
          <w:ilvl w:val="0"/>
          <w:numId w:val="2"/>
        </w:numPr>
        <w:tabs>
          <w:tab w:val="left" w:pos="819"/>
          <w:tab w:val="left" w:pos="820"/>
        </w:tabs>
        <w:rPr>
          <w:rFonts w:ascii="Arial" w:hAnsi="Arial"/>
          <w:sz w:val="26"/>
        </w:rPr>
      </w:pPr>
      <w:r w:rsidRPr="008819CB">
        <w:rPr>
          <w:sz w:val="26"/>
        </w:rPr>
        <w:t>Administrative</w:t>
      </w:r>
      <w:r w:rsidRPr="008819CB">
        <w:rPr>
          <w:spacing w:val="-2"/>
          <w:sz w:val="26"/>
        </w:rPr>
        <w:t xml:space="preserve"> </w:t>
      </w:r>
      <w:r w:rsidRPr="008819CB">
        <w:rPr>
          <w:sz w:val="26"/>
        </w:rPr>
        <w:t>law</w:t>
      </w:r>
    </w:p>
    <w:p w14:paraId="2E163F56" w14:textId="77777777" w:rsidR="00CC095A" w:rsidRPr="008819CB" w:rsidRDefault="00000000">
      <w:pPr>
        <w:pStyle w:val="ListParagraph"/>
        <w:numPr>
          <w:ilvl w:val="0"/>
          <w:numId w:val="2"/>
        </w:numPr>
        <w:tabs>
          <w:tab w:val="left" w:pos="819"/>
          <w:tab w:val="left" w:pos="820"/>
        </w:tabs>
        <w:rPr>
          <w:rFonts w:ascii="Arial" w:hAnsi="Arial"/>
          <w:sz w:val="26"/>
        </w:rPr>
      </w:pPr>
      <w:r w:rsidRPr="008819CB">
        <w:rPr>
          <w:sz w:val="26"/>
        </w:rPr>
        <w:t>Mediation and alternative dispute</w:t>
      </w:r>
      <w:r w:rsidRPr="008819CB">
        <w:rPr>
          <w:spacing w:val="-6"/>
          <w:sz w:val="26"/>
        </w:rPr>
        <w:t xml:space="preserve"> </w:t>
      </w:r>
      <w:r w:rsidRPr="008819CB">
        <w:rPr>
          <w:sz w:val="26"/>
        </w:rPr>
        <w:t>resolution</w:t>
      </w:r>
    </w:p>
    <w:p w14:paraId="2688A1A8" w14:textId="77777777" w:rsidR="00CC095A" w:rsidRPr="008819CB" w:rsidRDefault="00000000">
      <w:pPr>
        <w:pStyle w:val="ListParagraph"/>
        <w:numPr>
          <w:ilvl w:val="0"/>
          <w:numId w:val="2"/>
        </w:numPr>
        <w:tabs>
          <w:tab w:val="left" w:pos="819"/>
          <w:tab w:val="left" w:pos="820"/>
        </w:tabs>
        <w:rPr>
          <w:rFonts w:ascii="Arial" w:hAnsi="Arial"/>
          <w:sz w:val="26"/>
        </w:rPr>
      </w:pPr>
      <w:r w:rsidRPr="008819CB">
        <w:rPr>
          <w:sz w:val="26"/>
        </w:rPr>
        <w:t>Federal agency</w:t>
      </w:r>
      <w:r w:rsidRPr="008819CB">
        <w:rPr>
          <w:spacing w:val="-3"/>
          <w:sz w:val="26"/>
        </w:rPr>
        <w:t xml:space="preserve"> </w:t>
      </w:r>
      <w:r w:rsidRPr="008819CB">
        <w:rPr>
          <w:sz w:val="26"/>
        </w:rPr>
        <w:t>litigation</w:t>
      </w:r>
    </w:p>
    <w:p w14:paraId="62AE7495" w14:textId="77777777" w:rsidR="00CC095A" w:rsidRPr="008819CB" w:rsidRDefault="00000000">
      <w:pPr>
        <w:pStyle w:val="ListParagraph"/>
        <w:numPr>
          <w:ilvl w:val="0"/>
          <w:numId w:val="2"/>
        </w:numPr>
        <w:tabs>
          <w:tab w:val="left" w:pos="819"/>
          <w:tab w:val="left" w:pos="820"/>
        </w:tabs>
        <w:rPr>
          <w:rFonts w:ascii="Arial" w:hAnsi="Arial"/>
          <w:sz w:val="26"/>
        </w:rPr>
      </w:pPr>
      <w:r w:rsidRPr="008819CB">
        <w:rPr>
          <w:sz w:val="26"/>
        </w:rPr>
        <w:t>Employment</w:t>
      </w:r>
      <w:r w:rsidRPr="008819CB">
        <w:rPr>
          <w:spacing w:val="-23"/>
          <w:sz w:val="26"/>
        </w:rPr>
        <w:t xml:space="preserve"> </w:t>
      </w:r>
      <w:r w:rsidRPr="008819CB">
        <w:rPr>
          <w:sz w:val="26"/>
        </w:rPr>
        <w:t>discrimination</w:t>
      </w:r>
    </w:p>
    <w:p w14:paraId="59BB6E11" w14:textId="77777777" w:rsidR="00CC095A" w:rsidRPr="008819CB" w:rsidRDefault="00000000">
      <w:pPr>
        <w:pStyle w:val="ListParagraph"/>
        <w:numPr>
          <w:ilvl w:val="0"/>
          <w:numId w:val="2"/>
        </w:numPr>
        <w:tabs>
          <w:tab w:val="left" w:pos="819"/>
          <w:tab w:val="left" w:pos="820"/>
        </w:tabs>
        <w:spacing w:before="46"/>
        <w:rPr>
          <w:rFonts w:ascii="Arial" w:hAnsi="Arial"/>
          <w:sz w:val="26"/>
        </w:rPr>
      </w:pPr>
      <w:r w:rsidRPr="008819CB">
        <w:rPr>
          <w:sz w:val="26"/>
        </w:rPr>
        <w:t>Security Clearance</w:t>
      </w:r>
      <w:r w:rsidRPr="008819CB">
        <w:rPr>
          <w:spacing w:val="-23"/>
          <w:sz w:val="26"/>
        </w:rPr>
        <w:t xml:space="preserve"> </w:t>
      </w:r>
      <w:r w:rsidRPr="008819CB">
        <w:rPr>
          <w:sz w:val="26"/>
        </w:rPr>
        <w:t>Appeals</w:t>
      </w:r>
    </w:p>
    <w:p w14:paraId="067A5846" w14:textId="77777777" w:rsidR="00CC095A" w:rsidRPr="008819CB" w:rsidRDefault="00CC095A">
      <w:pPr>
        <w:pStyle w:val="BodyText"/>
        <w:spacing w:before="8"/>
        <w:ind w:left="0"/>
        <w:rPr>
          <w:sz w:val="24"/>
        </w:rPr>
      </w:pPr>
    </w:p>
    <w:p w14:paraId="1E991D98" w14:textId="77777777" w:rsidR="00CC095A" w:rsidRPr="008819CB" w:rsidRDefault="00000000">
      <w:pPr>
        <w:pStyle w:val="Heading1"/>
        <w:numPr>
          <w:ilvl w:val="0"/>
          <w:numId w:val="3"/>
        </w:numPr>
        <w:tabs>
          <w:tab w:val="left" w:pos="486"/>
        </w:tabs>
        <w:ind w:left="485" w:hanging="386"/>
      </w:pPr>
      <w:r w:rsidRPr="008819CB">
        <w:t>Media</w:t>
      </w:r>
      <w:r w:rsidRPr="008819CB">
        <w:rPr>
          <w:spacing w:val="-2"/>
        </w:rPr>
        <w:t xml:space="preserve"> </w:t>
      </w:r>
      <w:r w:rsidRPr="008819CB">
        <w:t>Appearances</w:t>
      </w:r>
    </w:p>
    <w:p w14:paraId="7311117A" w14:textId="77777777" w:rsidR="00CC095A" w:rsidRPr="008819CB" w:rsidRDefault="00CC095A">
      <w:pPr>
        <w:pStyle w:val="BodyText"/>
        <w:spacing w:before="9"/>
        <w:ind w:left="0"/>
        <w:rPr>
          <w:b/>
          <w:sz w:val="33"/>
        </w:rPr>
      </w:pPr>
    </w:p>
    <w:p w14:paraId="70D87D8A" w14:textId="77777777" w:rsidR="00CC095A" w:rsidRPr="008819CB" w:rsidRDefault="00000000">
      <w:pPr>
        <w:pStyle w:val="BodyText"/>
        <w:spacing w:before="0" w:line="276" w:lineRule="auto"/>
        <w:ind w:left="100" w:right="418"/>
        <w:jc w:val="both"/>
      </w:pPr>
      <w:r w:rsidRPr="008819CB">
        <w:t>John</w:t>
      </w:r>
      <w:r w:rsidRPr="008819CB">
        <w:rPr>
          <w:spacing w:val="-7"/>
        </w:rPr>
        <w:t xml:space="preserve"> </w:t>
      </w:r>
      <w:r w:rsidRPr="008819CB">
        <w:t>has</w:t>
      </w:r>
      <w:r w:rsidRPr="008819CB">
        <w:rPr>
          <w:spacing w:val="-6"/>
        </w:rPr>
        <w:t xml:space="preserve"> </w:t>
      </w:r>
      <w:r w:rsidRPr="008819CB">
        <w:t>appeared</w:t>
      </w:r>
      <w:r w:rsidRPr="008819CB">
        <w:rPr>
          <w:spacing w:val="-6"/>
        </w:rPr>
        <w:t xml:space="preserve"> </w:t>
      </w:r>
      <w:r w:rsidRPr="008819CB">
        <w:t>on</w:t>
      </w:r>
      <w:r w:rsidRPr="008819CB">
        <w:rPr>
          <w:spacing w:val="-6"/>
        </w:rPr>
        <w:t xml:space="preserve"> </w:t>
      </w:r>
      <w:r w:rsidRPr="008819CB">
        <w:t>various</w:t>
      </w:r>
      <w:r w:rsidRPr="008819CB">
        <w:rPr>
          <w:spacing w:val="-7"/>
        </w:rPr>
        <w:t xml:space="preserve"> </w:t>
      </w:r>
      <w:r w:rsidRPr="008819CB">
        <w:t>media</w:t>
      </w:r>
      <w:r w:rsidRPr="008819CB">
        <w:rPr>
          <w:spacing w:val="-6"/>
        </w:rPr>
        <w:t xml:space="preserve"> </w:t>
      </w:r>
      <w:r w:rsidRPr="008819CB">
        <w:t>outlets</w:t>
      </w:r>
      <w:r w:rsidRPr="008819CB">
        <w:rPr>
          <w:spacing w:val="-6"/>
        </w:rPr>
        <w:t xml:space="preserve"> </w:t>
      </w:r>
      <w:r w:rsidRPr="008819CB">
        <w:t>as</w:t>
      </w:r>
      <w:r w:rsidRPr="008819CB">
        <w:rPr>
          <w:spacing w:val="-6"/>
        </w:rPr>
        <w:t xml:space="preserve"> </w:t>
      </w:r>
      <w:r w:rsidRPr="008819CB">
        <w:t>a</w:t>
      </w:r>
      <w:r w:rsidRPr="008819CB">
        <w:rPr>
          <w:spacing w:val="-7"/>
        </w:rPr>
        <w:t xml:space="preserve"> </w:t>
      </w:r>
      <w:r w:rsidRPr="008819CB">
        <w:t>legal</w:t>
      </w:r>
      <w:r w:rsidRPr="008819CB">
        <w:rPr>
          <w:spacing w:val="-6"/>
        </w:rPr>
        <w:t xml:space="preserve"> </w:t>
      </w:r>
      <w:r w:rsidRPr="008819CB">
        <w:t>and</w:t>
      </w:r>
      <w:r w:rsidRPr="008819CB">
        <w:rPr>
          <w:spacing w:val="-6"/>
        </w:rPr>
        <w:t xml:space="preserve"> </w:t>
      </w:r>
      <w:r w:rsidRPr="008819CB">
        <w:t>political</w:t>
      </w:r>
      <w:r w:rsidRPr="008819CB">
        <w:rPr>
          <w:spacing w:val="-6"/>
        </w:rPr>
        <w:t xml:space="preserve"> </w:t>
      </w:r>
      <w:r w:rsidRPr="008819CB">
        <w:t>commentator,</w:t>
      </w:r>
      <w:r w:rsidRPr="008819CB">
        <w:rPr>
          <w:spacing w:val="-6"/>
        </w:rPr>
        <w:t xml:space="preserve"> </w:t>
      </w:r>
      <w:r w:rsidRPr="008819CB">
        <w:t>providing</w:t>
      </w:r>
      <w:r w:rsidRPr="008819CB">
        <w:rPr>
          <w:spacing w:val="-7"/>
        </w:rPr>
        <w:t xml:space="preserve"> </w:t>
      </w:r>
      <w:r w:rsidRPr="008819CB">
        <w:t xml:space="preserve">valuable insights on federal employment </w:t>
      </w:r>
      <w:r w:rsidRPr="008819CB">
        <w:rPr>
          <w:spacing w:val="-5"/>
        </w:rPr>
        <w:t xml:space="preserve">law, </w:t>
      </w:r>
      <w:r w:rsidRPr="008819CB">
        <w:t xml:space="preserve">labor </w:t>
      </w:r>
      <w:r w:rsidRPr="008819CB">
        <w:rPr>
          <w:spacing w:val="-5"/>
        </w:rPr>
        <w:t xml:space="preserve">law, </w:t>
      </w:r>
      <w:r w:rsidRPr="008819CB">
        <w:t>EEO civil rights matters, national security litigation, and political issues. His extensive background and ability to break down complex legal topics make him a sought-after expert for television news</w:t>
      </w:r>
      <w:r w:rsidRPr="008819CB">
        <w:rPr>
          <w:spacing w:val="-11"/>
        </w:rPr>
        <w:t xml:space="preserve"> </w:t>
      </w:r>
      <w:r w:rsidRPr="008819CB">
        <w:t>programs.</w:t>
      </w:r>
    </w:p>
    <w:p w14:paraId="3C54F9AA" w14:textId="77777777" w:rsidR="00CC095A" w:rsidRPr="008819CB" w:rsidRDefault="00CC095A">
      <w:pPr>
        <w:pStyle w:val="BodyText"/>
        <w:spacing w:before="10"/>
        <w:ind w:left="0"/>
        <w:rPr>
          <w:sz w:val="29"/>
        </w:rPr>
      </w:pPr>
    </w:p>
    <w:p w14:paraId="22FAC334" w14:textId="77777777" w:rsidR="00CC095A" w:rsidRPr="008819CB" w:rsidRDefault="00000000">
      <w:pPr>
        <w:pStyle w:val="Heading1"/>
        <w:numPr>
          <w:ilvl w:val="0"/>
          <w:numId w:val="3"/>
        </w:numPr>
        <w:tabs>
          <w:tab w:val="left" w:pos="385"/>
        </w:tabs>
        <w:spacing w:before="0"/>
        <w:ind w:left="384" w:hanging="285"/>
      </w:pPr>
      <w:r w:rsidRPr="008819CB">
        <w:t xml:space="preserve">Suggested </w:t>
      </w:r>
      <w:r w:rsidRPr="008819CB">
        <w:rPr>
          <w:spacing w:val="-5"/>
        </w:rPr>
        <w:t>Talking</w:t>
      </w:r>
      <w:r w:rsidRPr="008819CB">
        <w:rPr>
          <w:spacing w:val="-3"/>
        </w:rPr>
        <w:t xml:space="preserve"> </w:t>
      </w:r>
      <w:r w:rsidRPr="008819CB">
        <w:t>Points</w:t>
      </w:r>
    </w:p>
    <w:p w14:paraId="091F7092" w14:textId="77777777" w:rsidR="00CC095A" w:rsidRPr="008819CB" w:rsidRDefault="00CC095A">
      <w:pPr>
        <w:pStyle w:val="BodyText"/>
        <w:spacing w:before="9"/>
        <w:ind w:left="0"/>
        <w:rPr>
          <w:b/>
          <w:sz w:val="24"/>
        </w:rPr>
      </w:pPr>
    </w:p>
    <w:p w14:paraId="162E39E1" w14:textId="77777777" w:rsidR="00CC095A" w:rsidRPr="008819CB" w:rsidRDefault="00000000">
      <w:pPr>
        <w:pStyle w:val="ListParagraph"/>
        <w:numPr>
          <w:ilvl w:val="0"/>
          <w:numId w:val="1"/>
        </w:numPr>
        <w:tabs>
          <w:tab w:val="left" w:pos="819"/>
          <w:tab w:val="left" w:pos="820"/>
        </w:tabs>
        <w:spacing w:before="0"/>
        <w:rPr>
          <w:sz w:val="26"/>
        </w:rPr>
      </w:pPr>
      <w:r w:rsidRPr="008819CB">
        <w:rPr>
          <w:sz w:val="26"/>
        </w:rPr>
        <w:t>Challenges faced by federal employees in the current political</w:t>
      </w:r>
      <w:r w:rsidRPr="008819CB">
        <w:rPr>
          <w:spacing w:val="-18"/>
          <w:sz w:val="26"/>
        </w:rPr>
        <w:t xml:space="preserve"> </w:t>
      </w:r>
      <w:r w:rsidRPr="008819CB">
        <w:rPr>
          <w:sz w:val="26"/>
        </w:rPr>
        <w:t>climate</w:t>
      </w:r>
    </w:p>
    <w:p w14:paraId="066F1FFE" w14:textId="77777777" w:rsidR="00CC095A" w:rsidRPr="008819CB" w:rsidRDefault="00000000">
      <w:pPr>
        <w:pStyle w:val="ListParagraph"/>
        <w:numPr>
          <w:ilvl w:val="0"/>
          <w:numId w:val="1"/>
        </w:numPr>
        <w:tabs>
          <w:tab w:val="left" w:pos="819"/>
          <w:tab w:val="left" w:pos="820"/>
        </w:tabs>
        <w:rPr>
          <w:sz w:val="26"/>
        </w:rPr>
      </w:pPr>
      <w:r w:rsidRPr="008819CB">
        <w:rPr>
          <w:sz w:val="26"/>
        </w:rPr>
        <w:t>The role of the DNC in supporting federal employees and their</w:t>
      </w:r>
      <w:r w:rsidRPr="008819CB">
        <w:rPr>
          <w:spacing w:val="-20"/>
          <w:sz w:val="26"/>
        </w:rPr>
        <w:t xml:space="preserve"> </w:t>
      </w:r>
      <w:r w:rsidRPr="008819CB">
        <w:rPr>
          <w:sz w:val="26"/>
        </w:rPr>
        <w:t>rights</w:t>
      </w:r>
    </w:p>
    <w:p w14:paraId="702B100A" w14:textId="77777777" w:rsidR="00CC095A" w:rsidRPr="008819CB" w:rsidRDefault="00000000">
      <w:pPr>
        <w:pStyle w:val="ListParagraph"/>
        <w:numPr>
          <w:ilvl w:val="0"/>
          <w:numId w:val="1"/>
        </w:numPr>
        <w:tabs>
          <w:tab w:val="left" w:pos="819"/>
          <w:tab w:val="left" w:pos="820"/>
        </w:tabs>
        <w:rPr>
          <w:sz w:val="26"/>
        </w:rPr>
      </w:pPr>
      <w:r w:rsidRPr="008819CB">
        <w:rPr>
          <w:sz w:val="26"/>
        </w:rPr>
        <w:t>Updates on key federal employment law cases and</w:t>
      </w:r>
      <w:r w:rsidRPr="008819CB">
        <w:rPr>
          <w:spacing w:val="-14"/>
          <w:sz w:val="26"/>
        </w:rPr>
        <w:t xml:space="preserve"> </w:t>
      </w:r>
      <w:r w:rsidRPr="008819CB">
        <w:rPr>
          <w:sz w:val="26"/>
        </w:rPr>
        <w:t>legislation</w:t>
      </w:r>
    </w:p>
    <w:p w14:paraId="3F133563" w14:textId="77777777" w:rsidR="00CC095A" w:rsidRPr="008819CB" w:rsidRDefault="00000000">
      <w:pPr>
        <w:pStyle w:val="ListParagraph"/>
        <w:numPr>
          <w:ilvl w:val="0"/>
          <w:numId w:val="1"/>
        </w:numPr>
        <w:tabs>
          <w:tab w:val="left" w:pos="819"/>
          <w:tab w:val="left" w:pos="820"/>
        </w:tabs>
        <w:rPr>
          <w:sz w:val="26"/>
        </w:rPr>
      </w:pPr>
      <w:r w:rsidRPr="008819CB">
        <w:rPr>
          <w:sz w:val="26"/>
        </w:rPr>
        <w:t>Strategies for navigating the federal employment system and resolving</w:t>
      </w:r>
      <w:r w:rsidRPr="008819CB">
        <w:rPr>
          <w:spacing w:val="-23"/>
          <w:sz w:val="26"/>
        </w:rPr>
        <w:t xml:space="preserve"> </w:t>
      </w:r>
      <w:r w:rsidRPr="008819CB">
        <w:rPr>
          <w:sz w:val="26"/>
        </w:rPr>
        <w:t>disputes</w:t>
      </w:r>
    </w:p>
    <w:p w14:paraId="5EF3E437" w14:textId="77777777" w:rsidR="00CC095A" w:rsidRPr="008819CB" w:rsidRDefault="00000000">
      <w:pPr>
        <w:pStyle w:val="ListParagraph"/>
        <w:numPr>
          <w:ilvl w:val="0"/>
          <w:numId w:val="1"/>
        </w:numPr>
        <w:tabs>
          <w:tab w:val="left" w:pos="819"/>
          <w:tab w:val="left" w:pos="820"/>
        </w:tabs>
        <w:spacing w:before="44"/>
        <w:rPr>
          <w:sz w:val="26"/>
        </w:rPr>
      </w:pPr>
      <w:r w:rsidRPr="008819CB">
        <w:rPr>
          <w:sz w:val="26"/>
        </w:rPr>
        <w:t>National security clearance appellate</w:t>
      </w:r>
      <w:r w:rsidRPr="008819CB">
        <w:rPr>
          <w:spacing w:val="-6"/>
          <w:sz w:val="26"/>
        </w:rPr>
        <w:t xml:space="preserve"> </w:t>
      </w:r>
      <w:r w:rsidRPr="008819CB">
        <w:rPr>
          <w:sz w:val="26"/>
        </w:rPr>
        <w:t>litigation</w:t>
      </w:r>
    </w:p>
    <w:p w14:paraId="4D86F63C" w14:textId="77777777" w:rsidR="00CC095A" w:rsidRPr="008819CB" w:rsidRDefault="00000000">
      <w:pPr>
        <w:pStyle w:val="ListParagraph"/>
        <w:numPr>
          <w:ilvl w:val="0"/>
          <w:numId w:val="1"/>
        </w:numPr>
        <w:tabs>
          <w:tab w:val="left" w:pos="819"/>
          <w:tab w:val="left" w:pos="820"/>
        </w:tabs>
        <w:rPr>
          <w:sz w:val="26"/>
        </w:rPr>
      </w:pPr>
      <w:r w:rsidRPr="008819CB">
        <w:rPr>
          <w:sz w:val="26"/>
        </w:rPr>
        <w:t>The future of labor law and civil rights in the United</w:t>
      </w:r>
      <w:r w:rsidRPr="008819CB">
        <w:rPr>
          <w:spacing w:val="-17"/>
          <w:sz w:val="26"/>
        </w:rPr>
        <w:t xml:space="preserve"> </w:t>
      </w:r>
      <w:r w:rsidRPr="008819CB">
        <w:rPr>
          <w:sz w:val="26"/>
        </w:rPr>
        <w:t>States</w:t>
      </w:r>
    </w:p>
    <w:p w14:paraId="4DA136FC" w14:textId="77777777" w:rsidR="00CC095A" w:rsidRPr="008819CB" w:rsidRDefault="00CC095A">
      <w:pPr>
        <w:pStyle w:val="BodyText"/>
        <w:spacing w:before="9"/>
        <w:ind w:left="0"/>
        <w:rPr>
          <w:sz w:val="24"/>
        </w:rPr>
      </w:pPr>
    </w:p>
    <w:p w14:paraId="3CC73D8F" w14:textId="5A21139A" w:rsidR="00CC095A" w:rsidRPr="008819CB" w:rsidRDefault="00000000">
      <w:pPr>
        <w:pStyle w:val="BodyText"/>
        <w:spacing w:before="0" w:line="276" w:lineRule="auto"/>
        <w:ind w:left="100"/>
      </w:pPr>
      <w:r w:rsidRPr="008819CB">
        <w:t xml:space="preserve">For more information about John Mahoney and his legal expertise, please visit his professional website at </w:t>
      </w:r>
      <w:hyperlink r:id="rId7" w:history="1">
        <w:r w:rsidR="008819CB" w:rsidRPr="009A324A">
          <w:rPr>
            <w:rStyle w:val="Hyperlink"/>
          </w:rPr>
          <w:t xml:space="preserve">www.attorneymahoney.com/attorneys/john-p-mahoney-esq-/ </w:t>
        </w:r>
      </w:hyperlink>
      <w:r w:rsidRPr="008819CB">
        <w:t xml:space="preserve">and his DC law firm’s webpage at </w:t>
      </w:r>
      <w:hyperlink r:id="rId8" w:history="1">
        <w:r w:rsidR="008819CB" w:rsidRPr="009A324A">
          <w:rPr>
            <w:rStyle w:val="Hyperlink"/>
          </w:rPr>
          <w:t>www.AttorneyMahoney.com.</w:t>
        </w:r>
      </w:hyperlink>
    </w:p>
    <w:sectPr w:rsidR="00CC095A" w:rsidRPr="008819CB">
      <w:pgSz w:w="12240" w:h="15840"/>
      <w:pgMar w:top="1000" w:right="6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6A5"/>
    <w:multiLevelType w:val="hybridMultilevel"/>
    <w:tmpl w:val="D29C4B90"/>
    <w:lvl w:ilvl="0" w:tplc="3878B3D6">
      <w:numFmt w:val="bullet"/>
      <w:lvlText w:val="●"/>
      <w:lvlJc w:val="left"/>
      <w:pPr>
        <w:ind w:left="820" w:hanging="720"/>
      </w:pPr>
      <w:rPr>
        <w:rFonts w:hint="default"/>
        <w:w w:val="100"/>
      </w:rPr>
    </w:lvl>
    <w:lvl w:ilvl="1" w:tplc="8800D284">
      <w:numFmt w:val="bullet"/>
      <w:lvlText w:val="•"/>
      <w:lvlJc w:val="left"/>
      <w:pPr>
        <w:ind w:left="1832" w:hanging="720"/>
      </w:pPr>
      <w:rPr>
        <w:rFonts w:hint="default"/>
      </w:rPr>
    </w:lvl>
    <w:lvl w:ilvl="2" w:tplc="BF1C3360">
      <w:numFmt w:val="bullet"/>
      <w:lvlText w:val="•"/>
      <w:lvlJc w:val="left"/>
      <w:pPr>
        <w:ind w:left="2844" w:hanging="720"/>
      </w:pPr>
      <w:rPr>
        <w:rFonts w:hint="default"/>
      </w:rPr>
    </w:lvl>
    <w:lvl w:ilvl="3" w:tplc="72B4D232">
      <w:numFmt w:val="bullet"/>
      <w:lvlText w:val="•"/>
      <w:lvlJc w:val="left"/>
      <w:pPr>
        <w:ind w:left="3856" w:hanging="720"/>
      </w:pPr>
      <w:rPr>
        <w:rFonts w:hint="default"/>
      </w:rPr>
    </w:lvl>
    <w:lvl w:ilvl="4" w:tplc="86445A30">
      <w:numFmt w:val="bullet"/>
      <w:lvlText w:val="•"/>
      <w:lvlJc w:val="left"/>
      <w:pPr>
        <w:ind w:left="4868" w:hanging="720"/>
      </w:pPr>
      <w:rPr>
        <w:rFonts w:hint="default"/>
      </w:rPr>
    </w:lvl>
    <w:lvl w:ilvl="5" w:tplc="4D5C5902">
      <w:numFmt w:val="bullet"/>
      <w:lvlText w:val="•"/>
      <w:lvlJc w:val="left"/>
      <w:pPr>
        <w:ind w:left="5880" w:hanging="720"/>
      </w:pPr>
      <w:rPr>
        <w:rFonts w:hint="default"/>
      </w:rPr>
    </w:lvl>
    <w:lvl w:ilvl="6" w:tplc="F7B2E8D8">
      <w:numFmt w:val="bullet"/>
      <w:lvlText w:val="•"/>
      <w:lvlJc w:val="left"/>
      <w:pPr>
        <w:ind w:left="6892" w:hanging="720"/>
      </w:pPr>
      <w:rPr>
        <w:rFonts w:hint="default"/>
      </w:rPr>
    </w:lvl>
    <w:lvl w:ilvl="7" w:tplc="69A661B4">
      <w:numFmt w:val="bullet"/>
      <w:lvlText w:val="•"/>
      <w:lvlJc w:val="left"/>
      <w:pPr>
        <w:ind w:left="7904" w:hanging="720"/>
      </w:pPr>
      <w:rPr>
        <w:rFonts w:hint="default"/>
      </w:rPr>
    </w:lvl>
    <w:lvl w:ilvl="8" w:tplc="A45A9598">
      <w:numFmt w:val="bullet"/>
      <w:lvlText w:val="•"/>
      <w:lvlJc w:val="left"/>
      <w:pPr>
        <w:ind w:left="8916" w:hanging="720"/>
      </w:pPr>
      <w:rPr>
        <w:rFonts w:hint="default"/>
      </w:rPr>
    </w:lvl>
  </w:abstractNum>
  <w:abstractNum w:abstractNumId="1" w15:restartNumberingAfterBreak="0">
    <w:nsid w:val="0364404E"/>
    <w:multiLevelType w:val="hybridMultilevel"/>
    <w:tmpl w:val="4106F82C"/>
    <w:lvl w:ilvl="0" w:tplc="50C02E74">
      <w:start w:val="1"/>
      <w:numFmt w:val="decimal"/>
      <w:lvlText w:val="%1."/>
      <w:lvlJc w:val="left"/>
      <w:pPr>
        <w:ind w:left="820" w:hanging="720"/>
        <w:jc w:val="left"/>
      </w:pPr>
      <w:rPr>
        <w:rFonts w:hint="default"/>
        <w:spacing w:val="-1"/>
        <w:w w:val="100"/>
      </w:rPr>
    </w:lvl>
    <w:lvl w:ilvl="1" w:tplc="96CE09A2">
      <w:numFmt w:val="bullet"/>
      <w:lvlText w:val="•"/>
      <w:lvlJc w:val="left"/>
      <w:pPr>
        <w:ind w:left="1832" w:hanging="720"/>
      </w:pPr>
      <w:rPr>
        <w:rFonts w:hint="default"/>
      </w:rPr>
    </w:lvl>
    <w:lvl w:ilvl="2" w:tplc="EA16F080">
      <w:numFmt w:val="bullet"/>
      <w:lvlText w:val="•"/>
      <w:lvlJc w:val="left"/>
      <w:pPr>
        <w:ind w:left="2844" w:hanging="720"/>
      </w:pPr>
      <w:rPr>
        <w:rFonts w:hint="default"/>
      </w:rPr>
    </w:lvl>
    <w:lvl w:ilvl="3" w:tplc="E9D89C1C">
      <w:numFmt w:val="bullet"/>
      <w:lvlText w:val="•"/>
      <w:lvlJc w:val="left"/>
      <w:pPr>
        <w:ind w:left="3856" w:hanging="720"/>
      </w:pPr>
      <w:rPr>
        <w:rFonts w:hint="default"/>
      </w:rPr>
    </w:lvl>
    <w:lvl w:ilvl="4" w:tplc="65B44468">
      <w:numFmt w:val="bullet"/>
      <w:lvlText w:val="•"/>
      <w:lvlJc w:val="left"/>
      <w:pPr>
        <w:ind w:left="4868" w:hanging="720"/>
      </w:pPr>
      <w:rPr>
        <w:rFonts w:hint="default"/>
      </w:rPr>
    </w:lvl>
    <w:lvl w:ilvl="5" w:tplc="982081B6">
      <w:numFmt w:val="bullet"/>
      <w:lvlText w:val="•"/>
      <w:lvlJc w:val="left"/>
      <w:pPr>
        <w:ind w:left="5880" w:hanging="720"/>
      </w:pPr>
      <w:rPr>
        <w:rFonts w:hint="default"/>
      </w:rPr>
    </w:lvl>
    <w:lvl w:ilvl="6" w:tplc="A4665E02">
      <w:numFmt w:val="bullet"/>
      <w:lvlText w:val="•"/>
      <w:lvlJc w:val="left"/>
      <w:pPr>
        <w:ind w:left="6892" w:hanging="720"/>
      </w:pPr>
      <w:rPr>
        <w:rFonts w:hint="default"/>
      </w:rPr>
    </w:lvl>
    <w:lvl w:ilvl="7" w:tplc="030C6220">
      <w:numFmt w:val="bullet"/>
      <w:lvlText w:val="•"/>
      <w:lvlJc w:val="left"/>
      <w:pPr>
        <w:ind w:left="7904" w:hanging="720"/>
      </w:pPr>
      <w:rPr>
        <w:rFonts w:hint="default"/>
      </w:rPr>
    </w:lvl>
    <w:lvl w:ilvl="8" w:tplc="BD0ABF16">
      <w:numFmt w:val="bullet"/>
      <w:lvlText w:val="•"/>
      <w:lvlJc w:val="left"/>
      <w:pPr>
        <w:ind w:left="8916" w:hanging="720"/>
      </w:pPr>
      <w:rPr>
        <w:rFonts w:hint="default"/>
      </w:rPr>
    </w:lvl>
  </w:abstractNum>
  <w:abstractNum w:abstractNumId="2" w15:restartNumberingAfterBreak="0">
    <w:nsid w:val="7C854892"/>
    <w:multiLevelType w:val="hybridMultilevel"/>
    <w:tmpl w:val="83FCC422"/>
    <w:lvl w:ilvl="0" w:tplc="DF5089C4">
      <w:start w:val="1"/>
      <w:numFmt w:val="upperRoman"/>
      <w:lvlText w:val="%1."/>
      <w:lvlJc w:val="left"/>
      <w:pPr>
        <w:ind w:left="331" w:hanging="232"/>
        <w:jc w:val="left"/>
      </w:pPr>
      <w:rPr>
        <w:rFonts w:ascii="Times New Roman" w:eastAsia="Times New Roman" w:hAnsi="Times New Roman" w:cs="Times New Roman" w:hint="default"/>
        <w:b/>
        <w:bCs/>
        <w:spacing w:val="-1"/>
        <w:w w:val="100"/>
        <w:sz w:val="26"/>
        <w:szCs w:val="26"/>
      </w:rPr>
    </w:lvl>
    <w:lvl w:ilvl="1" w:tplc="84A2DD24">
      <w:numFmt w:val="bullet"/>
      <w:lvlText w:val="•"/>
      <w:lvlJc w:val="left"/>
      <w:pPr>
        <w:ind w:left="1400" w:hanging="232"/>
      </w:pPr>
      <w:rPr>
        <w:rFonts w:hint="default"/>
      </w:rPr>
    </w:lvl>
    <w:lvl w:ilvl="2" w:tplc="43080E54">
      <w:numFmt w:val="bullet"/>
      <w:lvlText w:val="•"/>
      <w:lvlJc w:val="left"/>
      <w:pPr>
        <w:ind w:left="2460" w:hanging="232"/>
      </w:pPr>
      <w:rPr>
        <w:rFonts w:hint="default"/>
      </w:rPr>
    </w:lvl>
    <w:lvl w:ilvl="3" w:tplc="1F626D32">
      <w:numFmt w:val="bullet"/>
      <w:lvlText w:val="•"/>
      <w:lvlJc w:val="left"/>
      <w:pPr>
        <w:ind w:left="3520" w:hanging="232"/>
      </w:pPr>
      <w:rPr>
        <w:rFonts w:hint="default"/>
      </w:rPr>
    </w:lvl>
    <w:lvl w:ilvl="4" w:tplc="7F8CAE8A">
      <w:numFmt w:val="bullet"/>
      <w:lvlText w:val="•"/>
      <w:lvlJc w:val="left"/>
      <w:pPr>
        <w:ind w:left="4580" w:hanging="232"/>
      </w:pPr>
      <w:rPr>
        <w:rFonts w:hint="default"/>
      </w:rPr>
    </w:lvl>
    <w:lvl w:ilvl="5" w:tplc="75DCDDF8">
      <w:numFmt w:val="bullet"/>
      <w:lvlText w:val="•"/>
      <w:lvlJc w:val="left"/>
      <w:pPr>
        <w:ind w:left="5640" w:hanging="232"/>
      </w:pPr>
      <w:rPr>
        <w:rFonts w:hint="default"/>
      </w:rPr>
    </w:lvl>
    <w:lvl w:ilvl="6" w:tplc="F2BCBBD6">
      <w:numFmt w:val="bullet"/>
      <w:lvlText w:val="•"/>
      <w:lvlJc w:val="left"/>
      <w:pPr>
        <w:ind w:left="6700" w:hanging="232"/>
      </w:pPr>
      <w:rPr>
        <w:rFonts w:hint="default"/>
      </w:rPr>
    </w:lvl>
    <w:lvl w:ilvl="7" w:tplc="7EC6ECE6">
      <w:numFmt w:val="bullet"/>
      <w:lvlText w:val="•"/>
      <w:lvlJc w:val="left"/>
      <w:pPr>
        <w:ind w:left="7760" w:hanging="232"/>
      </w:pPr>
      <w:rPr>
        <w:rFonts w:hint="default"/>
      </w:rPr>
    </w:lvl>
    <w:lvl w:ilvl="8" w:tplc="F5A2EC70">
      <w:numFmt w:val="bullet"/>
      <w:lvlText w:val="•"/>
      <w:lvlJc w:val="left"/>
      <w:pPr>
        <w:ind w:left="8820" w:hanging="232"/>
      </w:pPr>
      <w:rPr>
        <w:rFonts w:hint="default"/>
      </w:rPr>
    </w:lvl>
  </w:abstractNum>
  <w:num w:numId="1" w16cid:durableId="1287736211">
    <w:abstractNumId w:val="1"/>
  </w:num>
  <w:num w:numId="2" w16cid:durableId="179322626">
    <w:abstractNumId w:val="0"/>
  </w:num>
  <w:num w:numId="3" w16cid:durableId="700978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C095A"/>
    <w:rsid w:val="00383800"/>
    <w:rsid w:val="008819CB"/>
    <w:rsid w:val="009D4293"/>
    <w:rsid w:val="00CC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0965"/>
  <w15:docId w15:val="{44D06BD6-091D-4F76-8ADD-D7BB7B8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331" w:hanging="434"/>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5"/>
      <w:ind w:left="820"/>
    </w:pPr>
    <w:rPr>
      <w:sz w:val="26"/>
      <w:szCs w:val="26"/>
    </w:rPr>
  </w:style>
  <w:style w:type="paragraph" w:styleId="ListParagraph">
    <w:name w:val="List Paragraph"/>
    <w:basedOn w:val="Normal"/>
    <w:uiPriority w:val="1"/>
    <w:qFormat/>
    <w:pPr>
      <w:spacing w:before="45"/>
      <w:ind w:left="82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819CB"/>
    <w:rPr>
      <w:color w:val="0000FF" w:themeColor="hyperlink"/>
      <w:u w:val="single"/>
    </w:rPr>
  </w:style>
  <w:style w:type="character" w:styleId="UnresolvedMention">
    <w:name w:val="Unresolved Mention"/>
    <w:basedOn w:val="DefaultParagraphFont"/>
    <w:uiPriority w:val="99"/>
    <w:semiHidden/>
    <w:unhideWhenUsed/>
    <w:rsid w:val="00881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ttorneyMahoney.com." TargetMode="External"/><Relationship Id="rId3" Type="http://schemas.openxmlformats.org/officeDocument/2006/relationships/settings" Target="settings.xml"/><Relationship Id="rId7" Type="http://schemas.openxmlformats.org/officeDocument/2006/relationships/hyperlink" Target="http://www.attorneymahoney.com/attorneys/john-p-mahoney-esq-/%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Attorney John Mahoney — Media Kit</dc:title>
  <cp:lastModifiedBy>Caroline Geist</cp:lastModifiedBy>
  <cp:revision>4</cp:revision>
  <dcterms:created xsi:type="dcterms:W3CDTF">2023-06-20T19:37:00Z</dcterms:created>
  <dcterms:modified xsi:type="dcterms:W3CDTF">2023-06-23T21:23:00Z</dcterms:modified>
</cp:coreProperties>
</file>